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outlineLvl w:val="0"/>
        <w:rPr>
          <w:rFonts w:hint="default" w:ascii="黑体" w:hAnsi="黑体" w:eastAsia="黑体" w:cs="黑体"/>
          <w:sz w:val="32"/>
          <w:szCs w:val="48"/>
          <w:lang w:val="en-US" w:eastAsia="zh-CN"/>
        </w:rPr>
      </w:pPr>
      <w:r>
        <w:rPr>
          <w:rFonts w:hint="eastAsia" w:ascii="黑体" w:hAnsi="黑体" w:eastAsia="黑体" w:cs="黑体"/>
          <w:sz w:val="32"/>
          <w:szCs w:val="48"/>
          <w:lang w:eastAsia="zh-CN"/>
        </w:rPr>
        <w:t>附件</w:t>
      </w:r>
      <w:r>
        <w:rPr>
          <w:rFonts w:hint="eastAsia" w:ascii="黑体" w:hAnsi="黑体" w:eastAsia="黑体" w:cs="黑体"/>
          <w:sz w:val="32"/>
          <w:szCs w:val="48"/>
          <w:lang w:val="en-US" w:eastAsia="zh-CN"/>
        </w:rPr>
        <w:t>2</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1"/>
        <w:rPr>
          <w:rFonts w:hint="eastAsia" w:ascii="方正小标宋简体" w:eastAsia="方正小标宋简体"/>
          <w:spacing w:val="-12"/>
          <w:sz w:val="44"/>
          <w:szCs w:val="44"/>
        </w:rPr>
      </w:pPr>
      <w:r>
        <w:rPr>
          <w:rFonts w:hint="eastAsia" w:ascii="方正小标宋简体" w:eastAsia="方正小标宋简体"/>
          <w:spacing w:val="-12"/>
          <w:sz w:val="44"/>
          <w:szCs w:val="44"/>
          <w:lang w:eastAsia="zh-CN"/>
        </w:rPr>
        <w:t>部分</w:t>
      </w:r>
      <w:r>
        <w:rPr>
          <w:rFonts w:hint="eastAsia" w:ascii="方正小标宋简体" w:eastAsia="方正小标宋简体"/>
          <w:spacing w:val="-12"/>
          <w:sz w:val="44"/>
          <w:szCs w:val="44"/>
        </w:rPr>
        <w:t>不合格项目小知识</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简体" w:eastAsia="方正小标宋简体"/>
          <w:spacing w:val="-12"/>
          <w:sz w:val="32"/>
          <w:szCs w:val="32"/>
        </w:rPr>
      </w:pPr>
    </w:p>
    <w:p>
      <w:pPr>
        <w:numPr>
          <w:ilvl w:val="0"/>
          <w:numId w:val="1"/>
        </w:numPr>
        <w:spacing w:line="560" w:lineRule="exact"/>
        <w:ind w:left="0" w:leftChars="0" w:firstLine="640" w:firstLineChars="0"/>
        <w:outlineLvl w:val="0"/>
        <w:rPr>
          <w:rFonts w:eastAsia="黑体"/>
          <w:spacing w:val="0"/>
          <w:sz w:val="32"/>
          <w:szCs w:val="32"/>
        </w:rPr>
      </w:pPr>
      <w:r>
        <w:rPr>
          <w:rFonts w:eastAsia="黑体"/>
          <w:spacing w:val="0"/>
          <w:sz w:val="32"/>
          <w:szCs w:val="32"/>
        </w:rPr>
        <w:t>亚硝酸盐</w:t>
      </w:r>
    </w:p>
    <w:p>
      <w:pPr>
        <w:spacing w:line="56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亚硝酸盐是一类无机化合物的总称，主要包括亚硝酸钠和亚硝酸钾。亚硝酸盐作为护色剂和防腐剂，可以使肉制品呈现鲜艳的红色，也能够抑制肉毒梭菌的生长和繁殖，因此，被广泛应用于肉制品加工中。《食品安全国家标准 食品添加剂使用标准》（GB 2760</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2014）中规定，亚硝酸</w:t>
      </w:r>
      <w:r>
        <w:rPr>
          <w:rFonts w:hint="default" w:ascii="Times New Roman" w:hAnsi="Times New Roman" w:eastAsia="仿宋_GB2312" w:cs="Times New Roman"/>
          <w:color w:val="auto"/>
          <w:sz w:val="32"/>
          <w:szCs w:val="32"/>
          <w:lang w:eastAsia="zh-CN"/>
        </w:rPr>
        <w:t>盐</w:t>
      </w:r>
      <w:r>
        <w:rPr>
          <w:rFonts w:hint="default" w:ascii="Times New Roman" w:hAnsi="Times New Roman" w:eastAsia="仿宋_GB2312" w:cs="Times New Roman"/>
          <w:color w:val="auto"/>
          <w:sz w:val="32"/>
          <w:szCs w:val="32"/>
        </w:rPr>
        <w:t>残留量以亚硝酸钠</w:t>
      </w:r>
      <w:r>
        <w:rPr>
          <w:rFonts w:hint="eastAsia" w:ascii="Times New Roman" w:hAnsi="Times New Roman" w:eastAsia="仿宋_GB2312" w:cs="Times New Roman"/>
          <w:color w:val="auto"/>
          <w:sz w:val="32"/>
          <w:szCs w:val="32"/>
          <w:lang w:eastAsia="zh-CN"/>
        </w:rPr>
        <w:t>（钾）</w:t>
      </w:r>
      <w:r>
        <w:rPr>
          <w:rFonts w:hint="default" w:ascii="Times New Roman" w:hAnsi="Times New Roman" w:eastAsia="仿宋_GB2312" w:cs="Times New Roman"/>
          <w:color w:val="auto"/>
          <w:sz w:val="32"/>
          <w:szCs w:val="32"/>
        </w:rPr>
        <w:t>计，</w:t>
      </w:r>
      <w:r>
        <w:rPr>
          <w:rFonts w:hint="default" w:ascii="Times New Roman" w:hAnsi="Times New Roman" w:eastAsia="仿宋_GB2312" w:cs="Times New Roman"/>
          <w:color w:val="auto"/>
          <w:sz w:val="32"/>
          <w:szCs w:val="32"/>
          <w:lang w:val="en-US" w:eastAsia="zh-CN"/>
        </w:rPr>
        <w:t>腌腊肉制品类</w:t>
      </w:r>
      <w:r>
        <w:rPr>
          <w:rFonts w:hint="default" w:ascii="Times New Roman" w:hAnsi="Times New Roman" w:eastAsia="仿宋_GB2312" w:cs="Times New Roman"/>
          <w:color w:val="auto"/>
          <w:sz w:val="32"/>
          <w:szCs w:val="32"/>
        </w:rPr>
        <w:t>不</w:t>
      </w:r>
      <w:r>
        <w:rPr>
          <w:rFonts w:hint="eastAsia" w:ascii="Times New Roman" w:hAnsi="Times New Roman" w:eastAsia="仿宋_GB2312" w:cs="Times New Roman"/>
          <w:color w:val="auto"/>
          <w:sz w:val="32"/>
          <w:szCs w:val="32"/>
          <w:lang w:eastAsia="zh-CN"/>
        </w:rPr>
        <w:t>得</w:t>
      </w:r>
      <w:r>
        <w:rPr>
          <w:rFonts w:hint="default" w:ascii="Times New Roman" w:hAnsi="Times New Roman" w:eastAsia="仿宋_GB2312" w:cs="Times New Roman"/>
          <w:color w:val="auto"/>
          <w:sz w:val="32"/>
          <w:szCs w:val="32"/>
        </w:rPr>
        <w:t>超过30mg/kg。肉制品中亚硝酸盐超标，原因可能是个别生产企业在生产过程中未准确计量或为延长保质期多加了成分不明的复配添加剂等，造成重复添加而导致超限量。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outlineLvl w:val="9"/>
        <w:rPr>
          <w:rFonts w:hint="eastAsia" w:ascii="Times New Roman" w:hAnsi="Times New Roman" w:eastAsia="仿宋_GB2312" w:cs="Times New Roman"/>
          <w:sz w:val="32"/>
          <w:szCs w:val="32"/>
          <w:lang w:eastAsia="zh-CN"/>
        </w:rPr>
      </w:pPr>
    </w:p>
    <w:p>
      <w:pPr>
        <w:numPr>
          <w:ilvl w:val="0"/>
          <w:numId w:val="1"/>
        </w:numPr>
        <w:spacing w:line="560" w:lineRule="exact"/>
        <w:ind w:left="0" w:leftChars="0" w:firstLine="640" w:firstLineChars="0"/>
        <w:outlineLvl w:val="0"/>
        <w:rPr>
          <w:rFonts w:eastAsia="黑体"/>
          <w:spacing w:val="0"/>
          <w:sz w:val="32"/>
          <w:szCs w:val="32"/>
        </w:rPr>
      </w:pPr>
      <w:r>
        <w:rPr>
          <w:rFonts w:eastAsia="黑体"/>
          <w:spacing w:val="0"/>
          <w:sz w:val="32"/>
          <w:szCs w:val="32"/>
        </w:rPr>
        <w:t>溴酸盐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溴酸盐是矿泉水以及山泉水等多种天然水源在经过臭氧消毒后所生成的副产物</w:t>
      </w:r>
      <w:r>
        <w:rPr>
          <w:rFonts w:ascii="Times New Roman" w:hAnsi="Times New Roman" w:eastAsia="仿宋_GB2312" w:cs="Times New Roman"/>
          <w:sz w:val="32"/>
          <w:szCs w:val="32"/>
        </w:rPr>
        <w:t>。《饮用天然矿泉水》</w:t>
      </w:r>
      <w:r>
        <w:rPr>
          <w:rFonts w:hint="default" w:ascii="Times New Roman" w:hAnsi="Times New Roman" w:eastAsia="仿宋_GB2312" w:cs="Times New Roman"/>
          <w:sz w:val="32"/>
          <w:szCs w:val="32"/>
        </w:rPr>
        <w:t>（GB 8537</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8）</w:t>
      </w:r>
      <w:r>
        <w:rPr>
          <w:rFonts w:ascii="Times New Roman" w:hAnsi="Times New Roman" w:eastAsia="仿宋_GB2312" w:cs="Times New Roman"/>
          <w:sz w:val="32"/>
          <w:szCs w:val="32"/>
        </w:rPr>
        <w:t>中规定，饮用天然矿泉水中溴酸盐</w:t>
      </w:r>
      <w:r>
        <w:rPr>
          <w:rFonts w:hint="eastAsia" w:ascii="Times New Roman" w:hAnsi="Times New Roman" w:eastAsia="仿宋_GB2312" w:cs="Times New Roman"/>
          <w:sz w:val="32"/>
          <w:szCs w:val="32"/>
        </w:rPr>
        <w:t>的检出值应小于</w:t>
      </w:r>
      <w:r>
        <w:rPr>
          <w:rFonts w:ascii="Times New Roman" w:hAnsi="Times New Roman" w:eastAsia="仿宋_GB2312" w:cs="Times New Roman"/>
          <w:sz w:val="32"/>
          <w:szCs w:val="32"/>
        </w:rPr>
        <w:t>0.01mg/L。正常情况下，水中不含溴酸盐，但普遍含有溴化物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溴酸盐超标的原因，可能是由于臭氧消毒时，</w:t>
      </w:r>
      <w:r>
        <w:rPr>
          <w:rFonts w:hint="eastAsia" w:ascii="Times New Roman" w:hAnsi="Times New Roman" w:eastAsia="仿宋_GB2312" w:cs="Times New Roman"/>
          <w:sz w:val="32"/>
          <w:szCs w:val="32"/>
        </w:rPr>
        <w:t>水中</w:t>
      </w:r>
      <w:r>
        <w:rPr>
          <w:rFonts w:ascii="Times New Roman" w:hAnsi="Times New Roman" w:eastAsia="仿宋_GB2312" w:cs="Times New Roman"/>
          <w:sz w:val="32"/>
          <w:szCs w:val="32"/>
        </w:rPr>
        <w:t>溴化物被氧化生成溴酸盐。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outlineLvl w:val="9"/>
        <w:rPr>
          <w:rFonts w:hint="eastAsia" w:ascii="Times New Roman" w:hAnsi="Times New Roman" w:eastAsia="仿宋_GB2312" w:cs="Times New Roman"/>
          <w:sz w:val="32"/>
          <w:szCs w:val="32"/>
          <w:lang w:val="en-US" w:eastAsia="zh-CN"/>
        </w:rPr>
      </w:pPr>
    </w:p>
    <w:p>
      <w:pPr>
        <w:numPr>
          <w:ilvl w:val="0"/>
          <w:numId w:val="1"/>
        </w:numPr>
        <w:spacing w:line="560" w:lineRule="exact"/>
        <w:ind w:left="0" w:leftChars="0" w:firstLine="640" w:firstLineChars="0"/>
        <w:outlineLvl w:val="0"/>
        <w:rPr>
          <w:rFonts w:hint="eastAsia" w:eastAsia="黑体"/>
          <w:spacing w:val="0"/>
          <w:sz w:val="32"/>
          <w:szCs w:val="32"/>
          <w:lang w:val="en-US" w:eastAsia="zh-CN"/>
        </w:rPr>
      </w:pPr>
      <w:r>
        <w:rPr>
          <w:rFonts w:hint="eastAsia" w:eastAsia="黑体"/>
          <w:spacing w:val="0"/>
          <w:sz w:val="32"/>
          <w:szCs w:val="32"/>
          <w:lang w:val="en-US" w:eastAsia="zh-CN"/>
        </w:rPr>
        <w:t>铝的残留量（干样品，以Al计）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硫酸铝钾（</w:t>
      </w:r>
      <w:r>
        <w:rPr>
          <w:rFonts w:hint="default" w:ascii="Times New Roman" w:hAnsi="Times New Roman" w:eastAsia="仿宋_GB2312" w:cs="Times New Roman"/>
          <w:sz w:val="32"/>
          <w:szCs w:val="32"/>
          <w:lang w:val="en-US" w:eastAsia="zh-CN"/>
        </w:rPr>
        <w:t>又名钾明矾</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硫酸铝铵</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又名铵明矾</w:t>
      </w:r>
      <w:r>
        <w:rPr>
          <w:rFonts w:hint="eastAsia" w:ascii="Times New Roman" w:hAnsi="Times New Roman" w:eastAsia="仿宋_GB2312" w:cs="Times New Roman"/>
          <w:sz w:val="32"/>
          <w:szCs w:val="32"/>
          <w:lang w:val="en-US" w:eastAsia="zh-CN"/>
        </w:rPr>
        <w:t>）是食品加工常用的膨松剂和稳定剂，使用后产生铝残留。《食品安全国家标准 食品添加剂使用标准》（GB 2760-2014）规定，此糕点中铝的残留量（干样品，以Al计）最大限量值为100mg/kg。铝的残留量产生不合格的原因可能是：一是商家违规过量使用；二是原料带入；三是过程控制不严。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cs="Times New Roman"/>
          <w:sz w:val="32"/>
          <w:szCs w:val="32"/>
        </w:rPr>
      </w:pPr>
    </w:p>
    <w:p>
      <w:pPr>
        <w:numPr>
          <w:ilvl w:val="0"/>
          <w:numId w:val="1"/>
        </w:numPr>
        <w:spacing w:line="560" w:lineRule="exact"/>
        <w:ind w:left="0" w:leftChars="0" w:firstLine="640" w:firstLineChars="0"/>
        <w:outlineLvl w:val="0"/>
        <w:rPr>
          <w:rFonts w:hint="eastAsia" w:eastAsia="黑体"/>
          <w:spacing w:val="0"/>
          <w:sz w:val="32"/>
          <w:szCs w:val="32"/>
          <w:lang w:val="en-US" w:eastAsia="zh-CN"/>
        </w:rPr>
      </w:pPr>
      <w:bookmarkStart w:id="0" w:name="_GoBack"/>
      <w:r>
        <w:rPr>
          <w:rFonts w:hint="eastAsia" w:eastAsia="黑体"/>
          <w:spacing w:val="0"/>
          <w:sz w:val="32"/>
          <w:szCs w:val="32"/>
          <w:lang w:val="en-US" w:eastAsia="zh-CN"/>
        </w:rPr>
        <w:t>总酸</w:t>
      </w:r>
    </w:p>
    <w:bookmarkEnd w:id="0"/>
    <w:p>
      <w:pPr>
        <w:widowControl w:val="0"/>
        <w:numPr>
          <w:ilvl w:val="0"/>
          <w:numId w:val="0"/>
        </w:numPr>
        <w:spacing w:line="540" w:lineRule="exact"/>
        <w:ind w:firstLine="640" w:firstLineChars="200"/>
        <w:jc w:val="both"/>
        <w:rPr>
          <w:rFonts w:hint="eastAsia" w:ascii="Times New Roman" w:hAnsi="Times New Roman" w:eastAsia="仿宋_GB2312"/>
          <w:sz w:val="32"/>
          <w:szCs w:val="32"/>
          <w:lang w:eastAsia="zh-CN"/>
        </w:rPr>
      </w:pPr>
      <w:r>
        <w:rPr>
          <w:rFonts w:ascii="Times New Roman" w:hAnsi="Times New Roman" w:eastAsia="仿宋_GB2312" w:cs="Times New Roman"/>
          <w:sz w:val="32"/>
          <w:szCs w:val="32"/>
        </w:rPr>
        <w:t>总酸是食醋的品质指标，反映其特色的重要特征性指标之一。对酿造食醋来说，酸度越高说明发酵程度越高，食醋的酸味也就越浓，质量也就越好。</w:t>
      </w:r>
      <w:r>
        <w:rPr>
          <w:rFonts w:hint="eastAsia" w:ascii="Times New Roman" w:hAnsi="Times New Roman" w:eastAsia="仿宋_GB2312" w:cs="Times New Roman"/>
          <w:sz w:val="32"/>
          <w:szCs w:val="32"/>
          <w:lang w:eastAsia="zh-CN"/>
        </w:rPr>
        <w:t>根据</w:t>
      </w:r>
      <w:r>
        <w:rPr>
          <w:rFonts w:hint="eastAsia" w:ascii="Times New Roman" w:hAnsi="Times New Roman" w:eastAsia="仿宋_GB2312" w:cs="Times New Roman"/>
          <w:color w:val="auto"/>
          <w:sz w:val="32"/>
          <w:szCs w:val="32"/>
        </w:rPr>
        <w:t>《酿造食醋》</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GB/T 18187-2000</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中规定，</w:t>
      </w:r>
      <w:r>
        <w:rPr>
          <w:rFonts w:hint="eastAsia" w:ascii="Times New Roman" w:hAnsi="Times New Roman" w:eastAsia="仿宋_GB2312" w:cs="Times New Roman"/>
          <w:color w:val="auto"/>
          <w:sz w:val="32"/>
          <w:szCs w:val="32"/>
          <w:lang w:eastAsia="zh-CN"/>
        </w:rPr>
        <w:t>固态发酵</w:t>
      </w:r>
      <w:r>
        <w:rPr>
          <w:rFonts w:hint="eastAsia" w:ascii="Times New Roman" w:hAnsi="Times New Roman" w:eastAsia="仿宋_GB2312" w:cs="Times New Roman"/>
          <w:color w:val="auto"/>
          <w:sz w:val="32"/>
          <w:szCs w:val="32"/>
        </w:rPr>
        <w:t>食醋中总酸最小限量值为</w:t>
      </w:r>
      <w:r>
        <w:rPr>
          <w:rFonts w:hint="eastAsia" w:ascii="Times New Roman" w:hAnsi="Times New Roman" w:eastAsia="仿宋_GB2312" w:cs="Times New Roman"/>
          <w:color w:val="auto"/>
          <w:sz w:val="32"/>
          <w:szCs w:val="32"/>
          <w:lang w:val="en-US" w:eastAsia="zh-CN"/>
        </w:rPr>
        <w:t>3.50</w:t>
      </w:r>
      <w:r>
        <w:rPr>
          <w:rFonts w:hint="eastAsia" w:ascii="Times New Roman" w:hAnsi="Times New Roman" w:eastAsia="仿宋_GB2312" w:cs="Times New Roman"/>
          <w:color w:val="auto"/>
          <w:sz w:val="32"/>
          <w:szCs w:val="32"/>
        </w:rPr>
        <w:t>g/100mL</w:t>
      </w:r>
      <w:r>
        <w:rPr>
          <w:rFonts w:ascii="Times New Roman" w:hAnsi="Times New Roman" w:eastAsia="仿宋_GB2312" w:cs="Times New Roman"/>
          <w:color w:val="auto"/>
          <w:sz w:val="32"/>
          <w:szCs w:val="32"/>
        </w:rPr>
        <w:t>。</w:t>
      </w:r>
      <w:r>
        <w:rPr>
          <w:rFonts w:ascii="Times New Roman" w:hAnsi="Times New Roman" w:eastAsia="仿宋_GB2312" w:cs="Times New Roman"/>
          <w:sz w:val="32"/>
          <w:szCs w:val="32"/>
        </w:rPr>
        <w:t>总酸含量未达标的原因，可能是生产过程工艺控制不严</w:t>
      </w:r>
      <w:r>
        <w:rPr>
          <w:rFonts w:hint="eastAsia" w:ascii="Times New Roman" w:hAnsi="Times New Roman" w:eastAsia="仿宋_GB2312" w:cs="Times New Roman"/>
          <w:sz w:val="32"/>
          <w:szCs w:val="32"/>
          <w:lang w:eastAsia="zh-CN"/>
        </w:rPr>
        <w:t>，包装不严，偷工减料或制假</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Times New Roman" w:hAnsi="Times New Roman" w:eastAsia="仿宋_GB2312" w:cs="Times New Roman"/>
          <w:sz w:val="32"/>
          <w:szCs w:val="32"/>
          <w:lang w:val="en-US" w:eastAsia="zh-CN"/>
        </w:rPr>
      </w:pPr>
    </w:p>
    <w:sectPr>
      <w:footerReference r:id="rId3" w:type="default"/>
      <w:pgSz w:w="11906" w:h="16838"/>
      <w:pgMar w:top="2154"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FZSSK--GBK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AAD766"/>
    <w:multiLevelType w:val="singleLevel"/>
    <w:tmpl w:val="10AAD766"/>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45F03"/>
    <w:rsid w:val="0000231D"/>
    <w:rsid w:val="00015F96"/>
    <w:rsid w:val="00026069"/>
    <w:rsid w:val="00057C9D"/>
    <w:rsid w:val="0007233C"/>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E7C5C"/>
    <w:rsid w:val="00266BCB"/>
    <w:rsid w:val="00281BF8"/>
    <w:rsid w:val="0029329A"/>
    <w:rsid w:val="002B384B"/>
    <w:rsid w:val="002F2143"/>
    <w:rsid w:val="00314DD5"/>
    <w:rsid w:val="00327E2B"/>
    <w:rsid w:val="0033185A"/>
    <w:rsid w:val="0034436D"/>
    <w:rsid w:val="003455E6"/>
    <w:rsid w:val="0035764C"/>
    <w:rsid w:val="00357F27"/>
    <w:rsid w:val="0038633A"/>
    <w:rsid w:val="00395129"/>
    <w:rsid w:val="00397CD0"/>
    <w:rsid w:val="003D0B3F"/>
    <w:rsid w:val="00412DAF"/>
    <w:rsid w:val="0041724F"/>
    <w:rsid w:val="00417336"/>
    <w:rsid w:val="00434D19"/>
    <w:rsid w:val="004364F8"/>
    <w:rsid w:val="004478FC"/>
    <w:rsid w:val="00453AF8"/>
    <w:rsid w:val="004A654B"/>
    <w:rsid w:val="004B5F74"/>
    <w:rsid w:val="004F3D58"/>
    <w:rsid w:val="00500816"/>
    <w:rsid w:val="00506E78"/>
    <w:rsid w:val="00527CAA"/>
    <w:rsid w:val="005317AB"/>
    <w:rsid w:val="00534A48"/>
    <w:rsid w:val="00546FD2"/>
    <w:rsid w:val="0057056D"/>
    <w:rsid w:val="0057524F"/>
    <w:rsid w:val="005771A5"/>
    <w:rsid w:val="005A7BC0"/>
    <w:rsid w:val="005B58B4"/>
    <w:rsid w:val="005D7D45"/>
    <w:rsid w:val="00674ABF"/>
    <w:rsid w:val="00687316"/>
    <w:rsid w:val="006F32DE"/>
    <w:rsid w:val="006F7339"/>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D7ECA"/>
    <w:rsid w:val="00900928"/>
    <w:rsid w:val="0093297A"/>
    <w:rsid w:val="009756BD"/>
    <w:rsid w:val="0098625A"/>
    <w:rsid w:val="009927AB"/>
    <w:rsid w:val="009B0C8D"/>
    <w:rsid w:val="009B17D9"/>
    <w:rsid w:val="009B1CE0"/>
    <w:rsid w:val="009C78F5"/>
    <w:rsid w:val="009D0616"/>
    <w:rsid w:val="009D0E09"/>
    <w:rsid w:val="009E0C03"/>
    <w:rsid w:val="009E252B"/>
    <w:rsid w:val="009F4B8A"/>
    <w:rsid w:val="00A1575B"/>
    <w:rsid w:val="00A339B7"/>
    <w:rsid w:val="00A370EE"/>
    <w:rsid w:val="00AB0288"/>
    <w:rsid w:val="00AB1112"/>
    <w:rsid w:val="00AB3E33"/>
    <w:rsid w:val="00AB7501"/>
    <w:rsid w:val="00AC37A4"/>
    <w:rsid w:val="00AC79C1"/>
    <w:rsid w:val="00B147BF"/>
    <w:rsid w:val="00B2770C"/>
    <w:rsid w:val="00B50B7B"/>
    <w:rsid w:val="00B60BFA"/>
    <w:rsid w:val="00BA54E8"/>
    <w:rsid w:val="00BA6F7F"/>
    <w:rsid w:val="00BC5A14"/>
    <w:rsid w:val="00C03DAE"/>
    <w:rsid w:val="00C24969"/>
    <w:rsid w:val="00C64241"/>
    <w:rsid w:val="00C866ED"/>
    <w:rsid w:val="00CB1B93"/>
    <w:rsid w:val="00CC6CCA"/>
    <w:rsid w:val="00CD571D"/>
    <w:rsid w:val="00CE0330"/>
    <w:rsid w:val="00CE13D2"/>
    <w:rsid w:val="00CF0D96"/>
    <w:rsid w:val="00D11774"/>
    <w:rsid w:val="00D16C55"/>
    <w:rsid w:val="00D2271C"/>
    <w:rsid w:val="00D413F8"/>
    <w:rsid w:val="00D43DB8"/>
    <w:rsid w:val="00D731C9"/>
    <w:rsid w:val="00D762A4"/>
    <w:rsid w:val="00DC7CCF"/>
    <w:rsid w:val="00DE52CB"/>
    <w:rsid w:val="00DF45E6"/>
    <w:rsid w:val="00E438EF"/>
    <w:rsid w:val="00E45F03"/>
    <w:rsid w:val="00E54728"/>
    <w:rsid w:val="00E5769E"/>
    <w:rsid w:val="00E610CF"/>
    <w:rsid w:val="00E7052B"/>
    <w:rsid w:val="00E75233"/>
    <w:rsid w:val="00E764E7"/>
    <w:rsid w:val="00EF2FC7"/>
    <w:rsid w:val="00EF73EB"/>
    <w:rsid w:val="00F56DA2"/>
    <w:rsid w:val="00F64B8F"/>
    <w:rsid w:val="00F8113A"/>
    <w:rsid w:val="00F932D3"/>
    <w:rsid w:val="00FB5CDD"/>
    <w:rsid w:val="00FC246E"/>
    <w:rsid w:val="00FE1AF9"/>
    <w:rsid w:val="02E53ED2"/>
    <w:rsid w:val="05AC1A43"/>
    <w:rsid w:val="0643453F"/>
    <w:rsid w:val="083119A6"/>
    <w:rsid w:val="08C70051"/>
    <w:rsid w:val="0A4036B4"/>
    <w:rsid w:val="0B23740C"/>
    <w:rsid w:val="0BF55D05"/>
    <w:rsid w:val="0D541D8A"/>
    <w:rsid w:val="0E3E57FB"/>
    <w:rsid w:val="0E4F6F46"/>
    <w:rsid w:val="0E6E3364"/>
    <w:rsid w:val="125E1B94"/>
    <w:rsid w:val="126C3CBF"/>
    <w:rsid w:val="157E5278"/>
    <w:rsid w:val="169D136B"/>
    <w:rsid w:val="190A207C"/>
    <w:rsid w:val="199130D1"/>
    <w:rsid w:val="199303A5"/>
    <w:rsid w:val="1A943B45"/>
    <w:rsid w:val="1B6D47CE"/>
    <w:rsid w:val="1C0D4647"/>
    <w:rsid w:val="1F245FB8"/>
    <w:rsid w:val="20734AD8"/>
    <w:rsid w:val="20D8603E"/>
    <w:rsid w:val="217B58C1"/>
    <w:rsid w:val="218C1169"/>
    <w:rsid w:val="22EE5E6A"/>
    <w:rsid w:val="24C105FB"/>
    <w:rsid w:val="25842F5B"/>
    <w:rsid w:val="27706704"/>
    <w:rsid w:val="28926171"/>
    <w:rsid w:val="28FE5380"/>
    <w:rsid w:val="293C4333"/>
    <w:rsid w:val="2A266F86"/>
    <w:rsid w:val="2A4550B0"/>
    <w:rsid w:val="2B453547"/>
    <w:rsid w:val="2FF93B92"/>
    <w:rsid w:val="312E4A75"/>
    <w:rsid w:val="32DE440F"/>
    <w:rsid w:val="342C28E6"/>
    <w:rsid w:val="34C459CD"/>
    <w:rsid w:val="361165EF"/>
    <w:rsid w:val="3A066159"/>
    <w:rsid w:val="3D066ED4"/>
    <w:rsid w:val="3D5B7861"/>
    <w:rsid w:val="3D8A31F3"/>
    <w:rsid w:val="3DA70F84"/>
    <w:rsid w:val="40DF5746"/>
    <w:rsid w:val="426B3C81"/>
    <w:rsid w:val="449A0830"/>
    <w:rsid w:val="47075DCC"/>
    <w:rsid w:val="47662AEC"/>
    <w:rsid w:val="48655E99"/>
    <w:rsid w:val="488E348C"/>
    <w:rsid w:val="4AA63504"/>
    <w:rsid w:val="4FAD0645"/>
    <w:rsid w:val="4FC70334"/>
    <w:rsid w:val="4FD60C7C"/>
    <w:rsid w:val="521E35D3"/>
    <w:rsid w:val="52C32932"/>
    <w:rsid w:val="52D4703A"/>
    <w:rsid w:val="534230F9"/>
    <w:rsid w:val="54D163A0"/>
    <w:rsid w:val="575B13D1"/>
    <w:rsid w:val="57CB2923"/>
    <w:rsid w:val="5C9E489B"/>
    <w:rsid w:val="5DEC4F5D"/>
    <w:rsid w:val="5E0540D0"/>
    <w:rsid w:val="5F7B3A23"/>
    <w:rsid w:val="60FF6D88"/>
    <w:rsid w:val="61DD6D44"/>
    <w:rsid w:val="66325BC9"/>
    <w:rsid w:val="699D6242"/>
    <w:rsid w:val="6BA279B0"/>
    <w:rsid w:val="6BB43DA9"/>
    <w:rsid w:val="6BB87E7B"/>
    <w:rsid w:val="71A4552D"/>
    <w:rsid w:val="74E00729"/>
    <w:rsid w:val="75057978"/>
    <w:rsid w:val="75202347"/>
    <w:rsid w:val="76D75FC2"/>
    <w:rsid w:val="773E5EB6"/>
    <w:rsid w:val="77887501"/>
    <w:rsid w:val="779B73FF"/>
    <w:rsid w:val="77E37BF6"/>
    <w:rsid w:val="79516C02"/>
    <w:rsid w:val="7BC16283"/>
    <w:rsid w:val="7C6619F8"/>
    <w:rsid w:val="7DC149D8"/>
    <w:rsid w:val="7FE8335D"/>
    <w:rsid w:val="7FFB63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0"/>
    <w:unhideWhenUsed/>
    <w:qFormat/>
    <w:uiPriority w:val="99"/>
    <w:rPr>
      <w:sz w:val="18"/>
      <w:szCs w:val="18"/>
    </w:r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character" w:styleId="8">
    <w:name w:val="Strong"/>
    <w:basedOn w:val="7"/>
    <w:qFormat/>
    <w:uiPriority w:val="22"/>
    <w:rPr>
      <w:b/>
    </w:rPr>
  </w:style>
  <w:style w:type="character" w:styleId="9">
    <w:name w:val="FollowedHyperlink"/>
    <w:basedOn w:val="7"/>
    <w:semiHidden/>
    <w:unhideWhenUsed/>
    <w:qFormat/>
    <w:uiPriority w:val="99"/>
    <w:rPr>
      <w:color w:val="0063C8"/>
      <w:u w:val="none"/>
    </w:rPr>
  </w:style>
  <w:style w:type="character" w:styleId="10">
    <w:name w:val="Emphasis"/>
    <w:basedOn w:val="7"/>
    <w:qFormat/>
    <w:uiPriority w:val="20"/>
  </w:style>
  <w:style w:type="character" w:styleId="11">
    <w:name w:val="HTML Definition"/>
    <w:basedOn w:val="7"/>
    <w:semiHidden/>
    <w:unhideWhenUsed/>
    <w:qFormat/>
    <w:uiPriority w:val="99"/>
  </w:style>
  <w:style w:type="character" w:styleId="12">
    <w:name w:val="HTML Acronym"/>
    <w:basedOn w:val="7"/>
    <w:semiHidden/>
    <w:unhideWhenUsed/>
    <w:qFormat/>
    <w:uiPriority w:val="99"/>
  </w:style>
  <w:style w:type="character" w:styleId="13">
    <w:name w:val="HTML Variable"/>
    <w:basedOn w:val="7"/>
    <w:semiHidden/>
    <w:unhideWhenUsed/>
    <w:qFormat/>
    <w:uiPriority w:val="99"/>
  </w:style>
  <w:style w:type="character" w:styleId="14">
    <w:name w:val="Hyperlink"/>
    <w:basedOn w:val="7"/>
    <w:unhideWhenUsed/>
    <w:qFormat/>
    <w:uiPriority w:val="99"/>
    <w:rPr>
      <w:color w:val="0063C8"/>
      <w:u w:val="none"/>
    </w:rPr>
  </w:style>
  <w:style w:type="character" w:styleId="15">
    <w:name w:val="HTML Code"/>
    <w:basedOn w:val="7"/>
    <w:semiHidden/>
    <w:unhideWhenUsed/>
    <w:qFormat/>
    <w:uiPriority w:val="99"/>
    <w:rPr>
      <w:rFonts w:ascii="Courier New" w:hAnsi="Courier New"/>
      <w:sz w:val="20"/>
    </w:rPr>
  </w:style>
  <w:style w:type="character" w:styleId="16">
    <w:name w:val="HTML Cite"/>
    <w:basedOn w:val="7"/>
    <w:semiHidden/>
    <w:unhideWhenUsed/>
    <w:qFormat/>
    <w:uiPriority w:val="99"/>
  </w:style>
  <w:style w:type="character" w:customStyle="1" w:styleId="17">
    <w:name w:val="页眉 Char"/>
    <w:basedOn w:val="7"/>
    <w:link w:val="4"/>
    <w:qFormat/>
    <w:uiPriority w:val="99"/>
    <w:rPr>
      <w:sz w:val="18"/>
      <w:szCs w:val="18"/>
    </w:rPr>
  </w:style>
  <w:style w:type="character" w:customStyle="1" w:styleId="18">
    <w:name w:val="页脚 Char"/>
    <w:basedOn w:val="7"/>
    <w:link w:val="3"/>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批注框文本 Char"/>
    <w:basedOn w:val="7"/>
    <w:link w:val="2"/>
    <w:semiHidden/>
    <w:qFormat/>
    <w:uiPriority w:val="99"/>
    <w:rPr>
      <w:sz w:val="18"/>
      <w:szCs w:val="18"/>
    </w:rPr>
  </w:style>
  <w:style w:type="character" w:customStyle="1" w:styleId="21">
    <w:name w:val="mr-prof"/>
    <w:basedOn w:val="7"/>
    <w:qFormat/>
    <w:uiPriority w:val="0"/>
  </w:style>
  <w:style w:type="character" w:customStyle="1" w:styleId="22">
    <w:name w:val="btn-task-gray2"/>
    <w:basedOn w:val="7"/>
    <w:qFormat/>
    <w:uiPriority w:val="0"/>
    <w:rPr>
      <w:color w:val="FFFFFF"/>
      <w:u w:val="none"/>
      <w:shd w:val="clear" w:fill="CCCCCC"/>
    </w:rPr>
  </w:style>
  <w:style w:type="character" w:customStyle="1" w:styleId="23">
    <w:name w:val="hover37"/>
    <w:basedOn w:val="7"/>
    <w:qFormat/>
    <w:uiPriority w:val="0"/>
    <w:rPr>
      <w:color w:val="3EAF0E"/>
    </w:rPr>
  </w:style>
  <w:style w:type="character" w:customStyle="1" w:styleId="24">
    <w:name w:val="s16"/>
    <w:basedOn w:val="7"/>
    <w:qFormat/>
    <w:uiPriority w:val="0"/>
    <w:rPr>
      <w:color w:val="DDDDDD"/>
      <w:sz w:val="14"/>
      <w:szCs w:val="1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5A33C0-EB4A-4010-8669-9428FE9C3D59}">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4</Pages>
  <Words>283</Words>
  <Characters>1616</Characters>
  <Lines>13</Lines>
  <Paragraphs>3</Paragraphs>
  <TotalTime>0</TotalTime>
  <ScaleCrop>false</ScaleCrop>
  <LinksUpToDate>false</LinksUpToDate>
  <CharactersWithSpaces>1896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2019-04-08T04:31:00Z</dcterms:created>
  <dc:creator>SDWM</dc:creator>
  <cp:lastModifiedBy>WLH</cp:lastModifiedBy>
  <cp:lastPrinted>2016-09-01T02:58:00Z</cp:lastPrinted>
  <dcterms:modified xsi:type="dcterms:W3CDTF">2021-04-06T04:26:38Z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6A7D69C89F5F46F1BCCACA56709A5844</vt:lpwstr>
  </property>
</Properties>
</file>